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DBE50" w14:textId="00F5BC49" w:rsidR="008F52BB" w:rsidRDefault="000A0D33" w:rsidP="008F52BB">
      <w:pPr>
        <w:jc w:val="center"/>
        <w:rPr>
          <w:u w:val="single"/>
        </w:rPr>
      </w:pPr>
      <w:r>
        <w:rPr>
          <w:u w:val="single"/>
        </w:rPr>
        <w:t>The</w:t>
      </w:r>
      <w:r w:rsidR="00284F42">
        <w:rPr>
          <w:u w:val="single"/>
        </w:rPr>
        <w:t xml:space="preserve"> need for critical learning</w:t>
      </w:r>
      <w:r w:rsidR="00421C4A">
        <w:rPr>
          <w:u w:val="single"/>
        </w:rPr>
        <w:t>, and t</w:t>
      </w:r>
      <w:r w:rsidR="00284F42">
        <w:rPr>
          <w:u w:val="single"/>
        </w:rPr>
        <w:t>he</w:t>
      </w:r>
      <w:r w:rsidR="00B50548">
        <w:rPr>
          <w:u w:val="single"/>
        </w:rPr>
        <w:t xml:space="preserve"> political i</w:t>
      </w:r>
      <w:r w:rsidR="00FD2ED9">
        <w:rPr>
          <w:u w:val="single"/>
        </w:rPr>
        <w:t>mplications</w:t>
      </w:r>
      <w:r>
        <w:rPr>
          <w:u w:val="single"/>
        </w:rPr>
        <w:t xml:space="preserve"> of </w:t>
      </w:r>
      <w:r w:rsidR="00B50548">
        <w:rPr>
          <w:u w:val="single"/>
        </w:rPr>
        <w:t>the practice of h</w:t>
      </w:r>
      <w:r w:rsidR="004D14ED">
        <w:rPr>
          <w:u w:val="single"/>
        </w:rPr>
        <w:t xml:space="preserve">eutagogy </w:t>
      </w:r>
      <w:r w:rsidR="00B50548">
        <w:rPr>
          <w:u w:val="single"/>
        </w:rPr>
        <w:t>as it relates to the future of the u</w:t>
      </w:r>
      <w:r>
        <w:rPr>
          <w:u w:val="single"/>
        </w:rPr>
        <w:t>niversity</w:t>
      </w:r>
    </w:p>
    <w:p w14:paraId="6B7AD867" w14:textId="77777777" w:rsidR="000A0D33" w:rsidRDefault="000A0D33" w:rsidP="008F52BB">
      <w:pPr>
        <w:jc w:val="center"/>
      </w:pPr>
    </w:p>
    <w:p w14:paraId="62CCE359" w14:textId="77777777" w:rsidR="008F52BB" w:rsidRDefault="008F52BB" w:rsidP="008F52BB">
      <w:pPr>
        <w:rPr>
          <w:u w:val="single"/>
        </w:rPr>
      </w:pPr>
      <w:r>
        <w:rPr>
          <w:u w:val="single"/>
        </w:rPr>
        <w:t>Introduction</w:t>
      </w:r>
    </w:p>
    <w:p w14:paraId="693AB7F4" w14:textId="77777777" w:rsidR="008F52BB" w:rsidRDefault="008F52BB" w:rsidP="008F52BB">
      <w:pPr>
        <w:rPr>
          <w:u w:val="single"/>
        </w:rPr>
      </w:pPr>
    </w:p>
    <w:p w14:paraId="0CAFF7B1" w14:textId="184AB3CB" w:rsidR="00BA3BD1" w:rsidRDefault="00FD2ED9" w:rsidP="004D14ED">
      <w:pPr>
        <w:ind w:firstLine="720"/>
      </w:pPr>
      <w:r>
        <w:t>First described</w:t>
      </w:r>
      <w:r w:rsidR="004D14ED">
        <w:t xml:space="preserve"> by Stewart Hase and Chris Kenyon</w:t>
      </w:r>
      <w:r w:rsidR="0099215A">
        <w:t>, “heutagogy” is a</w:t>
      </w:r>
      <w:r w:rsidR="001B4087">
        <w:t>n educational</w:t>
      </w:r>
      <w:r w:rsidR="0099215A">
        <w:t xml:space="preserve"> </w:t>
      </w:r>
      <w:r w:rsidR="004D14ED">
        <w:t xml:space="preserve">technique that </w:t>
      </w:r>
      <w:r w:rsidR="0099215A">
        <w:t>bases</w:t>
      </w:r>
      <w:r w:rsidR="000A0D33">
        <w:t xml:space="preserve"> itself upon</w:t>
      </w:r>
      <w:r w:rsidR="0099215A">
        <w:t xml:space="preserve"> a radically stude</w:t>
      </w:r>
      <w:r w:rsidR="001B4087">
        <w:t>nt-centric approach</w:t>
      </w:r>
      <w:r w:rsidR="00902B2E">
        <w:t>. Heutagogical practice</w:t>
      </w:r>
      <w:r w:rsidR="0099215A">
        <w:t xml:space="preserve"> emphasises the full autonomy</w:t>
      </w:r>
      <w:r w:rsidR="00757339">
        <w:t xml:space="preserve"> of the learner at all points of</w:t>
      </w:r>
      <w:r w:rsidR="0099215A">
        <w:t xml:space="preserve"> the </w:t>
      </w:r>
      <w:r w:rsidR="00902B2E">
        <w:t>educational</w:t>
      </w:r>
      <w:r w:rsidR="004E2629">
        <w:t xml:space="preserve"> process:</w:t>
      </w:r>
      <w:r w:rsidR="0099215A">
        <w:t xml:space="preserve"> from setting </w:t>
      </w:r>
      <w:r w:rsidR="000D55F9">
        <w:t xml:space="preserve">the </w:t>
      </w:r>
      <w:r w:rsidR="0099215A">
        <w:t>curriculum to self-assessment in relation to</w:t>
      </w:r>
      <w:r w:rsidR="000D55F9">
        <w:t xml:space="preserve"> self-determined learning goals. Within this</w:t>
      </w:r>
      <w:r w:rsidR="0099215A">
        <w:t xml:space="preserve"> framework, the teacher becomes a faci</w:t>
      </w:r>
      <w:r w:rsidR="000D55F9">
        <w:t>litator whose role it is to aid the student in their engagement with a self-critical learning process.</w:t>
      </w:r>
      <w:r w:rsidR="00902B2E" w:rsidRPr="00902B2E">
        <w:rPr>
          <w:rStyle w:val="FootnoteReference"/>
        </w:rPr>
        <w:t xml:space="preserve"> </w:t>
      </w:r>
      <w:r w:rsidR="00902B2E">
        <w:rPr>
          <w:rStyle w:val="FootnoteReference"/>
        </w:rPr>
        <w:footnoteReference w:id="1"/>
      </w:r>
      <w:r w:rsidR="00902B2E">
        <w:t xml:space="preserve"> </w:t>
      </w:r>
      <w:r w:rsidR="000D55F9">
        <w:t xml:space="preserve"> The technique is intended to cr</w:t>
      </w:r>
      <w:r w:rsidR="00902B2E">
        <w:t>eate “self-determined learning”</w:t>
      </w:r>
      <w:r w:rsidR="000D55F9">
        <w:t xml:space="preserve"> in which the individual is capable of continual and autonomous </w:t>
      </w:r>
      <w:r w:rsidR="00F97374">
        <w:t>intellectual self-development</w:t>
      </w:r>
      <w:r w:rsidR="000A0D33">
        <w:t>.</w:t>
      </w:r>
      <w:r w:rsidR="00902B2E">
        <w:rPr>
          <w:rStyle w:val="FootnoteReference"/>
        </w:rPr>
        <w:footnoteReference w:id="2"/>
      </w:r>
      <w:r w:rsidR="000A0D33">
        <w:t xml:space="preserve"> </w:t>
      </w:r>
      <w:r w:rsidR="000F1FA6">
        <w:t xml:space="preserve">Heutagogy is highly suited to new high-tech modes of teaching, and the </w:t>
      </w:r>
      <w:r w:rsidR="006B279E">
        <w:t>Internet</w:t>
      </w:r>
      <w:r w:rsidR="000F1FA6">
        <w:t xml:space="preserve"> has been central in developing heutalogical communities of learners whose </w:t>
      </w:r>
      <w:proofErr w:type="gramStart"/>
      <w:r w:rsidR="000F1FA6">
        <w:t>members</w:t>
      </w:r>
      <w:proofErr w:type="gramEnd"/>
      <w:r w:rsidR="000F1FA6">
        <w:t xml:space="preserve"> work collaboratively to support each </w:t>
      </w:r>
      <w:r w:rsidR="006B279E">
        <w:t>other’s</w:t>
      </w:r>
      <w:r w:rsidR="00757339">
        <w:t xml:space="preserve"> practice</w:t>
      </w:r>
      <w:r w:rsidR="000F1FA6">
        <w:t>.</w:t>
      </w:r>
    </w:p>
    <w:p w14:paraId="55BDF1EE" w14:textId="77777777" w:rsidR="000A0D33" w:rsidRDefault="000A0D33" w:rsidP="004D14ED">
      <w:pPr>
        <w:ind w:firstLine="720"/>
      </w:pPr>
    </w:p>
    <w:p w14:paraId="72F70CE0" w14:textId="77777777" w:rsidR="000A0D33" w:rsidRPr="000A0D33" w:rsidRDefault="000A0D33" w:rsidP="000A0D33">
      <w:pPr>
        <w:rPr>
          <w:u w:val="single"/>
        </w:rPr>
      </w:pPr>
      <w:r>
        <w:rPr>
          <w:u w:val="single"/>
        </w:rPr>
        <w:t>Between the market and the university</w:t>
      </w:r>
    </w:p>
    <w:p w14:paraId="0AB5F047" w14:textId="77777777" w:rsidR="000A0D33" w:rsidRDefault="000A0D33" w:rsidP="004D14ED">
      <w:pPr>
        <w:ind w:firstLine="720"/>
      </w:pPr>
    </w:p>
    <w:p w14:paraId="00CF93DC" w14:textId="29842119" w:rsidR="008F52BB" w:rsidRDefault="006B279E" w:rsidP="00F97374">
      <w:pPr>
        <w:ind w:firstLine="720"/>
      </w:pPr>
      <w:r>
        <w:t>Given its focus on autonomous self-improvement, it is unsurprising that heutagogy is</w:t>
      </w:r>
      <w:r w:rsidR="00F97374">
        <w:t xml:space="preserve"> seen as a perfect</w:t>
      </w:r>
      <w:r>
        <w:t xml:space="preserve"> educational practice</w:t>
      </w:r>
      <w:r w:rsidR="00F97374">
        <w:t xml:space="preserve"> for the fast-paced of chang</w:t>
      </w:r>
      <w:r>
        <w:t>e of the modern workplace, in which</w:t>
      </w:r>
      <w:r w:rsidR="00F97374">
        <w:t xml:space="preserve"> the need to continually develop new skills is paramount. The vision of a continually self-improving workforce is one that is obv</w:t>
      </w:r>
      <w:r>
        <w:t>iously attractive to businesses, but</w:t>
      </w:r>
      <w:r w:rsidR="006D17C8">
        <w:t>,</w:t>
      </w:r>
      <w:r w:rsidR="00F97374">
        <w:t xml:space="preserve"> </w:t>
      </w:r>
      <w:r w:rsidR="006D17C8">
        <w:t>at the same time,</w:t>
      </w:r>
      <w:r w:rsidR="000A0D33">
        <w:t xml:space="preserve"> heutagogy “</w:t>
      </w:r>
      <w:r w:rsidR="000D55F9">
        <w:t>has received limited attention from h</w:t>
      </w:r>
      <w:r w:rsidR="000A0D33">
        <w:t>igher education and researchers</w:t>
      </w:r>
      <w:r w:rsidR="000D55F9">
        <w:t>”</w:t>
      </w:r>
      <w:r w:rsidR="00F97374">
        <w:t>.</w:t>
      </w:r>
      <w:r w:rsidR="00F97374">
        <w:rPr>
          <w:rStyle w:val="FootnoteReference"/>
        </w:rPr>
        <w:footnoteReference w:id="3"/>
      </w:r>
      <w:r w:rsidR="008D5B2A">
        <w:t xml:space="preserve"> This might seem strange when universities are consciously engaged in encouraging independent academic development and creative forms of learning amongst</w:t>
      </w:r>
      <w:r w:rsidR="00940EE0">
        <w:t xml:space="preserve"> </w:t>
      </w:r>
      <w:r w:rsidR="00757339">
        <w:t>their students and teachers</w:t>
      </w:r>
      <w:r w:rsidR="00940EE0">
        <w:t>.</w:t>
      </w:r>
      <w:r w:rsidR="00F97374">
        <w:t xml:space="preserve"> </w:t>
      </w:r>
      <w:r w:rsidR="000A0D33">
        <w:t>There are</w:t>
      </w:r>
      <w:r w:rsidR="00940EE0">
        <w:t>, however, various reasons for their lack of embrace of heutagogy, two of the</w:t>
      </w:r>
      <w:r w:rsidR="00F97374">
        <w:t xml:space="preserve"> most prominent</w:t>
      </w:r>
      <w:r w:rsidR="00940EE0">
        <w:t xml:space="preserve"> among which are</w:t>
      </w:r>
      <w:r w:rsidR="000A0D33">
        <w:t xml:space="preserve"> the relatively centralised structure of</w:t>
      </w:r>
      <w:r w:rsidR="006D17C8">
        <w:t xml:space="preserve"> knowledge within</w:t>
      </w:r>
      <w:r w:rsidR="000A0D33">
        <w:t xml:space="preserve"> the university system</w:t>
      </w:r>
      <w:r w:rsidR="00757339">
        <w:t>, and</w:t>
      </w:r>
      <w:r w:rsidR="004E2629">
        <w:t xml:space="preserve"> the univ</w:t>
      </w:r>
      <w:r w:rsidR="00757339">
        <w:t>ersity’s role of</w:t>
      </w:r>
      <w:r w:rsidR="004E2629">
        <w:t xml:space="preserve"> authorising accredited degrees</w:t>
      </w:r>
      <w:r w:rsidR="000A0D33">
        <w:t>.</w:t>
      </w:r>
      <w:r w:rsidR="004E2629">
        <w:rPr>
          <w:rStyle w:val="FootnoteReference"/>
        </w:rPr>
        <w:footnoteReference w:id="4"/>
      </w:r>
      <w:r w:rsidR="00FD2ED9">
        <w:t xml:space="preserve"> The thing that makes</w:t>
      </w:r>
      <w:r w:rsidR="000A0D33">
        <w:t xml:space="preserve"> heutagogy </w:t>
      </w:r>
      <w:r w:rsidR="008D5B2A">
        <w:t>a potentially</w:t>
      </w:r>
      <w:r w:rsidR="00F97374">
        <w:t xml:space="preserve"> attractive model for business</w:t>
      </w:r>
      <w:r w:rsidR="008D5B2A">
        <w:t>es</w:t>
      </w:r>
      <w:r w:rsidR="006D17C8">
        <w:t xml:space="preserve"> (i.e.</w:t>
      </w:r>
      <w:r w:rsidR="000A0D33">
        <w:t xml:space="preserve"> </w:t>
      </w:r>
      <w:r w:rsidR="00FD2ED9">
        <w:t>its decentralised model of learning based entirely in the individual’s continual self-improvement</w:t>
      </w:r>
      <w:r w:rsidR="006D17C8">
        <w:t>),</w:t>
      </w:r>
      <w:r w:rsidR="00FD2ED9">
        <w:t xml:space="preserve"> is thus precisely</w:t>
      </w:r>
      <w:r w:rsidR="00F97374">
        <w:t xml:space="preserve"> that </w:t>
      </w:r>
      <w:r w:rsidR="00FD2ED9">
        <w:t xml:space="preserve">which </w:t>
      </w:r>
      <w:r w:rsidR="00F97374">
        <w:t>create</w:t>
      </w:r>
      <w:r w:rsidR="00FD2ED9">
        <w:t>s</w:t>
      </w:r>
      <w:r w:rsidR="00F97374">
        <w:t xml:space="preserve"> problems</w:t>
      </w:r>
      <w:r w:rsidR="00FD2ED9">
        <w:t xml:space="preserve"> for its implementation</w:t>
      </w:r>
      <w:r w:rsidR="00F97374">
        <w:t xml:space="preserve"> within the university system, and this points to an underlying tension in </w:t>
      </w:r>
      <w:r w:rsidR="00FD2ED9">
        <w:t>this</w:t>
      </w:r>
      <w:r w:rsidR="00F97374">
        <w:t xml:space="preserve"> system as a whole.</w:t>
      </w:r>
    </w:p>
    <w:p w14:paraId="36681E03" w14:textId="77777777" w:rsidR="00F97374" w:rsidRDefault="00F97374" w:rsidP="00F97374">
      <w:pPr>
        <w:ind w:firstLine="720"/>
      </w:pPr>
    </w:p>
    <w:p w14:paraId="535430AE" w14:textId="77777777" w:rsidR="00F97374" w:rsidRDefault="00F97374" w:rsidP="00F97374">
      <w:pPr>
        <w:rPr>
          <w:u w:val="single"/>
        </w:rPr>
      </w:pPr>
      <w:r w:rsidRPr="00F97374">
        <w:rPr>
          <w:u w:val="single"/>
        </w:rPr>
        <w:t>The Future of the University</w:t>
      </w:r>
    </w:p>
    <w:p w14:paraId="5FDC757A" w14:textId="77777777" w:rsidR="00F97374" w:rsidRDefault="00F97374" w:rsidP="00F97374">
      <w:pPr>
        <w:rPr>
          <w:u w:val="single"/>
        </w:rPr>
      </w:pPr>
    </w:p>
    <w:p w14:paraId="2793A33C" w14:textId="40C5C74A" w:rsidR="00F97374" w:rsidRDefault="00D03D12" w:rsidP="00F97374">
      <w:r>
        <w:lastRenderedPageBreak/>
        <w:tab/>
        <w:t xml:space="preserve">As Steven Schwartz, recognised in a column in the </w:t>
      </w:r>
      <w:r>
        <w:rPr>
          <w:i/>
        </w:rPr>
        <w:t xml:space="preserve">Times Higher Educational Suppliment </w:t>
      </w:r>
      <w:r>
        <w:t>in May 2003, the debate over the purpose of the university is an ancient one.</w:t>
      </w:r>
      <w:r>
        <w:rPr>
          <w:rStyle w:val="FootnoteReference"/>
        </w:rPr>
        <w:footnoteReference w:id="5"/>
      </w:r>
      <w:r>
        <w:t xml:space="preserve"> A panel discussion</w:t>
      </w:r>
      <w:r w:rsidR="006B279E">
        <w:t>,</w:t>
      </w:r>
      <w:r>
        <w:t xml:space="preserve"> published more recently in the </w:t>
      </w:r>
      <w:r>
        <w:rPr>
          <w:i/>
        </w:rPr>
        <w:t>Guardian</w:t>
      </w:r>
      <w:r w:rsidR="00FD2ED9">
        <w:t>’s education supplement</w:t>
      </w:r>
      <w:r>
        <w:t xml:space="preserve"> </w:t>
      </w:r>
      <w:r w:rsidR="00FD2ED9">
        <w:t>(</w:t>
      </w:r>
      <w:r>
        <w:t>24 August 2012</w:t>
      </w:r>
      <w:r w:rsidR="00FD2ED9">
        <w:t>)</w:t>
      </w:r>
      <w:r w:rsidR="006B279E">
        <w:t>,</w:t>
      </w:r>
      <w:r>
        <w:t xml:space="preserve"> offered an idea of what</w:t>
      </w:r>
      <w:r w:rsidR="006B279E">
        <w:t xml:space="preserve"> this debate</w:t>
      </w:r>
      <w:r w:rsidR="006D17C8">
        <w:t xml:space="preserve"> currently</w:t>
      </w:r>
      <w:r w:rsidR="006B279E">
        <w:t xml:space="preserve"> looks like. K</w:t>
      </w:r>
      <w:r>
        <w:t xml:space="preserve">ey amongst </w:t>
      </w:r>
      <w:r w:rsidR="008D5B2A">
        <w:t xml:space="preserve">its </w:t>
      </w:r>
      <w:r>
        <w:t>points was th</w:t>
      </w:r>
      <w:r w:rsidR="008D5B2A">
        <w:t>at the future of education will most likely</w:t>
      </w:r>
      <w:r w:rsidR="006D17C8">
        <w:t xml:space="preserve"> involve increasing</w:t>
      </w:r>
      <w:r>
        <w:t xml:space="preserve"> </w:t>
      </w:r>
      <w:r w:rsidR="008D5B2A">
        <w:t>de</w:t>
      </w:r>
      <w:r w:rsidR="006D17C8">
        <w:t>centralisation, use of</w:t>
      </w:r>
      <w:r>
        <w:t xml:space="preserve"> the internet</w:t>
      </w:r>
      <w:r w:rsidR="006D17C8">
        <w:t xml:space="preserve"> as a delivery medium</w:t>
      </w:r>
      <w:r>
        <w:t>, and that</w:t>
      </w:r>
      <w:r w:rsidR="006B279E">
        <w:t>,</w:t>
      </w:r>
      <w:r>
        <w:t xml:space="preserve"> more likely than not</w:t>
      </w:r>
      <w:r w:rsidR="006B279E">
        <w:t>,</w:t>
      </w:r>
      <w:r>
        <w:t xml:space="preserve"> business and </w:t>
      </w:r>
      <w:r w:rsidR="000F1FA6">
        <w:t>the pos</w:t>
      </w:r>
      <w:r w:rsidR="008D5B2A">
        <w:t>t-university world of work will</w:t>
      </w:r>
      <w:r w:rsidR="000F1FA6">
        <w:t xml:space="preserve"> increasingly come to shape the education sector.</w:t>
      </w:r>
      <w:r w:rsidR="000F1FA6">
        <w:rPr>
          <w:rStyle w:val="FootnoteReference"/>
        </w:rPr>
        <w:footnoteReference w:id="6"/>
      </w:r>
      <w:r w:rsidR="008D5B2A">
        <w:t xml:space="preserve"> In this way, the future might look quite bright for heutagogy.</w:t>
      </w:r>
    </w:p>
    <w:p w14:paraId="0C318D6E" w14:textId="2285BA8F" w:rsidR="00CA3900" w:rsidRDefault="00940EE0" w:rsidP="00F97374">
      <w:r>
        <w:tab/>
      </w:r>
      <w:r w:rsidR="00CA3900">
        <w:t xml:space="preserve">These developments would </w:t>
      </w:r>
      <w:r w:rsidR="006D17C8">
        <w:t>represent a</w:t>
      </w:r>
      <w:r w:rsidR="00CA3900">
        <w:t xml:space="preserve"> continuation of</w:t>
      </w:r>
      <w:r w:rsidR="006D17C8">
        <w:t xml:space="preserve"> the changes that have</w:t>
      </w:r>
      <w:r w:rsidR="00CA3900">
        <w:t xml:space="preserve"> been taking place in the last few decades, and d</w:t>
      </w:r>
      <w:r w:rsidR="00FD2ED9">
        <w:t>uring the panel</w:t>
      </w:r>
      <w:r>
        <w:t xml:space="preserve"> Tamson Pietsch made an important point regarding the Internet and autod</w:t>
      </w:r>
      <w:r w:rsidR="00FD2ED9">
        <w:t>idactic forms of learning that</w:t>
      </w:r>
      <w:r w:rsidR="006D17C8">
        <w:t xml:space="preserve"> illuminate</w:t>
      </w:r>
      <w:r w:rsidR="00F52769">
        <w:t>s</w:t>
      </w:r>
      <w:r>
        <w:t xml:space="preserve"> another</w:t>
      </w:r>
      <w:r w:rsidR="00F52769">
        <w:t xml:space="preserve"> potential</w:t>
      </w:r>
      <w:r>
        <w:t xml:space="preserve"> reason for the lack of wide-scale adoption of heutagogy within t</w:t>
      </w:r>
      <w:r w:rsidR="006D17C8">
        <w:t>he university system. She argues</w:t>
      </w:r>
      <w:r>
        <w:t xml:space="preserve"> that universities are institutions that both foster and sanction knowledge</w:t>
      </w:r>
      <w:r w:rsidR="006D17C8">
        <w:t>, and this</w:t>
      </w:r>
      <w:r w:rsidR="00CA3900">
        <w:t xml:space="preserve"> raises some interesting point</w:t>
      </w:r>
      <w:r w:rsidR="00FD2ED9">
        <w:t>s in relation to heutagogy’s decentralised</w:t>
      </w:r>
      <w:r w:rsidR="00CA3900">
        <w:t xml:space="preserve"> model of practice and suggests certain problems if the method is practiced uncritically.</w:t>
      </w:r>
    </w:p>
    <w:p w14:paraId="267E4DAB" w14:textId="77777777" w:rsidR="00CA3900" w:rsidRDefault="00CA3900" w:rsidP="00F97374"/>
    <w:p w14:paraId="56766B51" w14:textId="77777777" w:rsidR="00CA3900" w:rsidRDefault="00CA3900" w:rsidP="00F97374">
      <w:pPr>
        <w:rPr>
          <w:u w:val="single"/>
        </w:rPr>
      </w:pPr>
      <w:r>
        <w:rPr>
          <w:u w:val="single"/>
        </w:rPr>
        <w:t>Conclusion</w:t>
      </w:r>
    </w:p>
    <w:p w14:paraId="4F303D2D" w14:textId="77777777" w:rsidR="00CA3900" w:rsidRDefault="00CA3900" w:rsidP="00F97374">
      <w:pPr>
        <w:rPr>
          <w:u w:val="single"/>
        </w:rPr>
      </w:pPr>
    </w:p>
    <w:p w14:paraId="22AD6B2F" w14:textId="77777777" w:rsidR="00152431" w:rsidRDefault="00CA3900" w:rsidP="00F97374">
      <w:r>
        <w:tab/>
        <w:t>The question of who sanctions knowledge raises an interesting problem</w:t>
      </w:r>
      <w:r w:rsidR="006D17C8">
        <w:t xml:space="preserve"> </w:t>
      </w:r>
      <w:r w:rsidR="00466A84">
        <w:t>for the future of university system</w:t>
      </w:r>
      <w:r w:rsidR="007645D8">
        <w:t>,</w:t>
      </w:r>
      <w:r>
        <w:t xml:space="preserve"> and</w:t>
      </w:r>
      <w:r w:rsidR="00466A84">
        <w:t xml:space="preserve"> for</w:t>
      </w:r>
      <w:r>
        <w:t xml:space="preserve"> those who advocate for the practice of heutagogy. Th</w:t>
      </w:r>
      <w:r w:rsidR="0023707D">
        <w:t>e modern university was an institution committed to broadly liberal ideals of truth and freedom. As such, it saw its goal in terms of</w:t>
      </w:r>
      <w:r>
        <w:t xml:space="preserve"> </w:t>
      </w:r>
      <w:r w:rsidR="0023707D">
        <w:t xml:space="preserve">the development of learners who strove for the attainment of these values in their work. With the dissolution of this function and the </w:t>
      </w:r>
      <w:r w:rsidR="00B50548">
        <w:t>creation of a marketplace of</w:t>
      </w:r>
      <w:r w:rsidR="0023707D">
        <w:t xml:space="preserve"> universities whose goals become the attainment of employment by their graduates</w:t>
      </w:r>
      <w:r>
        <w:t>,</w:t>
      </w:r>
      <w:r w:rsidR="007645D8">
        <w:t xml:space="preserve"> there is a profound shift from</w:t>
      </w:r>
      <w:r w:rsidR="0023707D">
        <w:t xml:space="preserve"> their role as “sanc</w:t>
      </w:r>
      <w:r w:rsidR="007645D8">
        <w:t xml:space="preserve">tioners” of knowledge. </w:t>
      </w:r>
    </w:p>
    <w:p w14:paraId="6BB57463" w14:textId="58FE0259" w:rsidR="0023707D" w:rsidRPr="00D03D12" w:rsidRDefault="00B50548" w:rsidP="00152431">
      <w:pPr>
        <w:ind w:firstLine="720"/>
      </w:pPr>
      <w:r>
        <w:t>The implication of this shift</w:t>
      </w:r>
      <w:r w:rsidR="0023707D">
        <w:t xml:space="preserve"> is </w:t>
      </w:r>
      <w:r>
        <w:t xml:space="preserve">related to the risks of an uncritically practiced heutagogy as a model for learning – it raises the question of </w:t>
      </w:r>
      <w:proofErr w:type="gramStart"/>
      <w:r>
        <w:t>who</w:t>
      </w:r>
      <w:proofErr w:type="gramEnd"/>
      <w:r>
        <w:t xml:space="preserve"> learning is for, and who be</w:t>
      </w:r>
      <w:r w:rsidR="006D17C8">
        <w:t>nefits from it?</w:t>
      </w:r>
      <w:r>
        <w:t xml:space="preserve"> The attractiveness of heutagogic methods to business</w:t>
      </w:r>
      <w:r w:rsidR="007645D8">
        <w:t xml:space="preserve"> </w:t>
      </w:r>
      <w:r>
        <w:t>might</w:t>
      </w:r>
      <w:r w:rsidR="007645D8">
        <w:t xml:space="preserve"> well</w:t>
      </w:r>
      <w:r>
        <w:t xml:space="preserve"> be </w:t>
      </w:r>
      <w:r w:rsidR="007645D8">
        <w:t>that people can be encouraged to</w:t>
      </w:r>
      <w:r w:rsidR="006D17C8">
        <w:t xml:space="preserve"> direct themselves towards the narrow acquisition of skills whose main </w:t>
      </w:r>
      <w:r w:rsidR="00284F42">
        <w:t>beneficiary</w:t>
      </w:r>
      <w:r w:rsidR="00152431">
        <w:t xml:space="preserve"> is</w:t>
      </w:r>
      <w:r w:rsidR="006D17C8">
        <w:t xml:space="preserve"> business</w:t>
      </w:r>
      <w:r w:rsidR="007645D8">
        <w:t xml:space="preserve"> rather than </w:t>
      </w:r>
      <w:r w:rsidR="00284F42">
        <w:t>the individual.</w:t>
      </w:r>
      <w:r w:rsidR="006D17C8">
        <w:t xml:space="preserve"> </w:t>
      </w:r>
      <w:r w:rsidR="007645D8">
        <w:t>This is not to say that heutagogy is</w:t>
      </w:r>
      <w:r w:rsidR="00284F42">
        <w:t xml:space="preserve"> not a potentially radical form of education, and indeed, in a different context the autodidactic example of worker’s libraries in the early twentieth century shows the potential for politically oppositional forms of education to challenge the dominance of institutional forms of learning. What is needed, however, is a continually critical approach</w:t>
      </w:r>
      <w:r w:rsidR="00152431">
        <w:t xml:space="preserve"> to</w:t>
      </w:r>
      <w:r w:rsidR="00284F42">
        <w:t xml:space="preserve"> the problem </w:t>
      </w:r>
      <w:r w:rsidR="00152431">
        <w:t>and status of knowledge</w:t>
      </w:r>
      <w:r w:rsidR="00284F42">
        <w:t xml:space="preserve">, and this increasingly </w:t>
      </w:r>
      <w:proofErr w:type="gramStart"/>
      <w:r w:rsidR="00152431">
        <w:t>effects</w:t>
      </w:r>
      <w:proofErr w:type="gramEnd"/>
      <w:r w:rsidR="00284F42">
        <w:t xml:space="preserve"> the university system just as much as experimental leaning practices.</w:t>
      </w:r>
      <w:bookmarkStart w:id="0" w:name="_GoBack"/>
      <w:bookmarkEnd w:id="0"/>
    </w:p>
    <w:sectPr w:rsidR="0023707D" w:rsidRPr="00D03D12" w:rsidSect="00276EC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060DF" w14:textId="77777777" w:rsidR="00757339" w:rsidRDefault="00757339" w:rsidP="00902B2E">
      <w:r>
        <w:separator/>
      </w:r>
    </w:p>
  </w:endnote>
  <w:endnote w:type="continuationSeparator" w:id="0">
    <w:p w14:paraId="18F5E3B2" w14:textId="77777777" w:rsidR="00757339" w:rsidRDefault="00757339" w:rsidP="0090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A0D6F" w14:textId="77777777" w:rsidR="00757339" w:rsidRDefault="00757339" w:rsidP="00902B2E">
      <w:r>
        <w:separator/>
      </w:r>
    </w:p>
  </w:footnote>
  <w:footnote w:type="continuationSeparator" w:id="0">
    <w:p w14:paraId="5D9EC39A" w14:textId="77777777" w:rsidR="00757339" w:rsidRDefault="00757339" w:rsidP="00902B2E">
      <w:r>
        <w:continuationSeparator/>
      </w:r>
    </w:p>
  </w:footnote>
  <w:footnote w:id="1">
    <w:p w14:paraId="129C7AAA" w14:textId="77777777" w:rsidR="00757339" w:rsidRPr="00902B2E" w:rsidRDefault="00757339" w:rsidP="00902B2E">
      <w:pPr>
        <w:pStyle w:val="FootnoteText"/>
        <w:rPr>
          <w:lang w:val="en-US"/>
        </w:rPr>
      </w:pPr>
      <w:r>
        <w:rPr>
          <w:rStyle w:val="FootnoteReference"/>
        </w:rPr>
        <w:footnoteRef/>
      </w:r>
      <w:r>
        <w:t xml:space="preserve"> Mason, Tom (2004) ”Finding Facilitation and Heutagogy.” Available at: </w:t>
      </w:r>
      <w:r w:rsidRPr="00902B2E">
        <w:t>https://heutagogycop.wordpress.com/2014/12/03/finding-facilitation-heutagogy/</w:t>
      </w:r>
    </w:p>
  </w:footnote>
  <w:footnote w:id="2">
    <w:p w14:paraId="181A7499" w14:textId="77777777" w:rsidR="00757339" w:rsidRPr="00902B2E" w:rsidRDefault="00757339">
      <w:pPr>
        <w:pStyle w:val="FootnoteText"/>
        <w:rPr>
          <w:lang w:val="en-US"/>
        </w:rPr>
      </w:pPr>
      <w:r>
        <w:rPr>
          <w:rStyle w:val="FootnoteReference"/>
        </w:rPr>
        <w:footnoteRef/>
      </w:r>
      <w:r>
        <w:t xml:space="preserve"> Hace and Kenyon cited in </w:t>
      </w:r>
      <w:r>
        <w:rPr>
          <w:lang w:val="en-US"/>
        </w:rPr>
        <w:t xml:space="preserve">Blaschke, Lisa Marie (2012) “Heutagogy and Lifelong Learning: A Review of Heutagogical Practice and Self-Determined Learning.” Available at: </w:t>
      </w:r>
      <w:r w:rsidRPr="00902B2E">
        <w:rPr>
          <w:lang w:val="en-US"/>
        </w:rPr>
        <w:t>http://www.irrodl.org/index.php/irrodl/article/view/1076/2087</w:t>
      </w:r>
      <w:r>
        <w:rPr>
          <w:lang w:val="en-US"/>
        </w:rPr>
        <w:t xml:space="preserve">  </w:t>
      </w:r>
    </w:p>
  </w:footnote>
  <w:footnote w:id="3">
    <w:p w14:paraId="49F7C4D5" w14:textId="77777777" w:rsidR="00757339" w:rsidRPr="00F97374" w:rsidRDefault="00757339">
      <w:pPr>
        <w:pStyle w:val="FootnoteText"/>
        <w:rPr>
          <w:lang w:val="en-US"/>
        </w:rPr>
      </w:pPr>
      <w:r>
        <w:rPr>
          <w:rStyle w:val="FootnoteReference"/>
        </w:rPr>
        <w:footnoteRef/>
      </w:r>
      <w:r>
        <w:t xml:space="preserve"> </w:t>
      </w:r>
      <w:r>
        <w:rPr>
          <w:lang w:val="en-US"/>
        </w:rPr>
        <w:t>Blaschke (2012)</w:t>
      </w:r>
    </w:p>
  </w:footnote>
  <w:footnote w:id="4">
    <w:p w14:paraId="41470282" w14:textId="77777777" w:rsidR="00757339" w:rsidRPr="004E2629" w:rsidRDefault="00757339">
      <w:pPr>
        <w:pStyle w:val="FootnoteText"/>
        <w:rPr>
          <w:lang w:val="en-US"/>
        </w:rPr>
      </w:pPr>
      <w:r>
        <w:rPr>
          <w:rStyle w:val="FootnoteReference"/>
        </w:rPr>
        <w:footnoteRef/>
      </w:r>
      <w:r>
        <w:t xml:space="preserve"> On this </w:t>
      </w:r>
      <w:r>
        <w:rPr>
          <w:lang w:val="en-US"/>
        </w:rPr>
        <w:t>Blaschke cites McAuliffe et al.’s statement that “the removal of the educator makes the concept of heutagogy impractical in a credentialing institution,” and writes of the impracticality of implementing a full-blown educational framework of heutagogy.</w:t>
      </w:r>
    </w:p>
  </w:footnote>
  <w:footnote w:id="5">
    <w:p w14:paraId="5C381AFA" w14:textId="77777777" w:rsidR="00757339" w:rsidRPr="00D03D12" w:rsidRDefault="00757339">
      <w:pPr>
        <w:pStyle w:val="FootnoteText"/>
        <w:rPr>
          <w:lang w:val="en-US"/>
        </w:rPr>
      </w:pPr>
      <w:r>
        <w:rPr>
          <w:rStyle w:val="FootnoteReference"/>
        </w:rPr>
        <w:footnoteRef/>
      </w:r>
      <w:r>
        <w:t xml:space="preserve"> Schwarz, Steven (2003) “The higher purpose”. Available at: </w:t>
      </w:r>
      <w:r w:rsidRPr="00D03D12">
        <w:t>https://www.timeshighereducation.co.uk/comment/columnists/the-higher-purpose/176727.article</w:t>
      </w:r>
    </w:p>
  </w:footnote>
  <w:footnote w:id="6">
    <w:p w14:paraId="6F6FDC48" w14:textId="77777777" w:rsidR="00757339" w:rsidRPr="000F1FA6" w:rsidRDefault="00757339">
      <w:pPr>
        <w:pStyle w:val="FootnoteText"/>
        <w:rPr>
          <w:lang w:val="en-US"/>
        </w:rPr>
      </w:pPr>
      <w:r>
        <w:rPr>
          <w:rStyle w:val="FootnoteReference"/>
        </w:rPr>
        <w:footnoteRef/>
      </w:r>
      <w:r>
        <w:t xml:space="preserve"> </w:t>
      </w:r>
      <w:r w:rsidRPr="000F1FA6">
        <w:t>http://www.theguardian.com/higher-education-network/blog/2012/aug/24/higher-education-in-2020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2BB"/>
    <w:rsid w:val="000A0D33"/>
    <w:rsid w:val="000D55F9"/>
    <w:rsid w:val="000F1FA6"/>
    <w:rsid w:val="00152431"/>
    <w:rsid w:val="001B4087"/>
    <w:rsid w:val="0023707D"/>
    <w:rsid w:val="00276EC7"/>
    <w:rsid w:val="00284F42"/>
    <w:rsid w:val="00421C4A"/>
    <w:rsid w:val="00466A84"/>
    <w:rsid w:val="004D14ED"/>
    <w:rsid w:val="004E2629"/>
    <w:rsid w:val="006B279E"/>
    <w:rsid w:val="006D17C8"/>
    <w:rsid w:val="00757339"/>
    <w:rsid w:val="007645D8"/>
    <w:rsid w:val="008D5B2A"/>
    <w:rsid w:val="008F52BB"/>
    <w:rsid w:val="00902B2E"/>
    <w:rsid w:val="00940EE0"/>
    <w:rsid w:val="0099215A"/>
    <w:rsid w:val="00B50548"/>
    <w:rsid w:val="00BA3BD1"/>
    <w:rsid w:val="00CA3900"/>
    <w:rsid w:val="00CF70C4"/>
    <w:rsid w:val="00D03D12"/>
    <w:rsid w:val="00F12941"/>
    <w:rsid w:val="00F52769"/>
    <w:rsid w:val="00F97374"/>
    <w:rsid w:val="00FD2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AE36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CF70C4"/>
    <w:rPr>
      <w:sz w:val="20"/>
    </w:rPr>
  </w:style>
  <w:style w:type="character" w:customStyle="1" w:styleId="FootnoteTextChar">
    <w:name w:val="Footnote Text Char"/>
    <w:basedOn w:val="DefaultParagraphFont"/>
    <w:link w:val="FootnoteText"/>
    <w:uiPriority w:val="99"/>
    <w:rsid w:val="00CF70C4"/>
    <w:rPr>
      <w:sz w:val="20"/>
      <w:lang w:val="en-GB"/>
    </w:rPr>
  </w:style>
  <w:style w:type="character" w:styleId="FootnoteReference">
    <w:name w:val="footnote reference"/>
    <w:basedOn w:val="DefaultParagraphFont"/>
    <w:uiPriority w:val="99"/>
    <w:unhideWhenUsed/>
    <w:rsid w:val="00902B2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CF70C4"/>
    <w:rPr>
      <w:sz w:val="20"/>
    </w:rPr>
  </w:style>
  <w:style w:type="character" w:customStyle="1" w:styleId="FootnoteTextChar">
    <w:name w:val="Footnote Text Char"/>
    <w:basedOn w:val="DefaultParagraphFont"/>
    <w:link w:val="FootnoteText"/>
    <w:uiPriority w:val="99"/>
    <w:rsid w:val="00CF70C4"/>
    <w:rPr>
      <w:sz w:val="20"/>
      <w:lang w:val="en-GB"/>
    </w:rPr>
  </w:style>
  <w:style w:type="character" w:styleId="FootnoteReference">
    <w:name w:val="footnote reference"/>
    <w:basedOn w:val="DefaultParagraphFont"/>
    <w:uiPriority w:val="99"/>
    <w:unhideWhenUsed/>
    <w:rsid w:val="00902B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778</Words>
  <Characters>4438</Characters>
  <Application>Microsoft Macintosh Word</Application>
  <DocSecurity>0</DocSecurity>
  <Lines>36</Lines>
  <Paragraphs>10</Paragraphs>
  <ScaleCrop>false</ScaleCrop>
  <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Cary Mackay</dc:creator>
  <cp:keywords/>
  <dc:description/>
  <cp:lastModifiedBy>Cary Mackay</cp:lastModifiedBy>
  <cp:revision>8</cp:revision>
  <dcterms:created xsi:type="dcterms:W3CDTF">2015-06-12T14:47:00Z</dcterms:created>
  <dcterms:modified xsi:type="dcterms:W3CDTF">2015-06-12T18:57:00Z</dcterms:modified>
</cp:coreProperties>
</file>